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76" w:rsidRDefault="000F6576">
      <w:pPr>
        <w:framePr w:w="5000" w:h="1" w:hRule="exact" w:wrap="notBeside" w:vAnchor="page" w:hAnchor="page" w:x="1" w:y="1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>该文件由</w:t>
      </w:r>
      <w:r>
        <w:rPr>
          <w:rFonts w:ascii="Times New Roman" w:hAnsi="Times New Roman" w:cs="Times New Roman"/>
          <w:sz w:val="24"/>
          <w:szCs w:val="24"/>
        </w:rPr>
        <w:t xml:space="preserve"> Oracle Reports </w:t>
      </w:r>
      <w:r>
        <w:rPr>
          <w:rFonts w:ascii="Times New Roman" w:hAnsi="Times New Roman" w:cs="Times New Roman" w:hint="eastAsia"/>
          <w:sz w:val="24"/>
          <w:szCs w:val="24"/>
        </w:rPr>
        <w:t>创建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请在</w:t>
      </w:r>
      <w:r>
        <w:rPr>
          <w:rFonts w:ascii="Times New Roman" w:hAnsi="Times New Roman" w:cs="Times New Roman"/>
          <w:sz w:val="24"/>
          <w:szCs w:val="24"/>
        </w:rPr>
        <w:t xml:space="preserve"> '</w:t>
      </w:r>
      <w:r>
        <w:rPr>
          <w:rFonts w:ascii="Times New Roman" w:hAnsi="Times New Roman" w:cs="Times New Roman" w:hint="eastAsia"/>
          <w:sz w:val="24"/>
          <w:szCs w:val="24"/>
        </w:rPr>
        <w:t>页面布局</w:t>
      </w:r>
      <w:r>
        <w:rPr>
          <w:rFonts w:ascii="Times New Roman" w:hAnsi="Times New Roman" w:cs="Times New Roman"/>
          <w:sz w:val="24"/>
          <w:szCs w:val="24"/>
        </w:rPr>
        <w:t xml:space="preserve">' </w:t>
      </w:r>
      <w:r>
        <w:rPr>
          <w:rFonts w:ascii="Times New Roman" w:hAnsi="Times New Roman" w:cs="Times New Roman" w:hint="eastAsia"/>
          <w:sz w:val="24"/>
          <w:szCs w:val="24"/>
        </w:rPr>
        <w:t>模式下查阅此文档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576" w:rsidRDefault="000F6576">
      <w:pPr>
        <w:framePr w:w="510" w:h="270" w:hRule="exact" w:wrap="auto" w:vAnchor="page" w:hAnchor="page" w:x="513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Page</w:t>
      </w:r>
    </w:p>
    <w:p w:rsidR="000F6576" w:rsidRDefault="000F6576">
      <w:pPr>
        <w:framePr w:w="270" w:h="270" w:hRule="exact" w:wrap="auto" w:vAnchor="page" w:hAnchor="page" w:x="567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F6576">
      <w:pPr>
        <w:framePr w:w="360" w:h="240" w:hRule="exact" w:wrap="auto" w:vAnchor="page" w:hAnchor="page" w:x="594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Of</w:t>
      </w:r>
    </w:p>
    <w:p w:rsidR="000F6576" w:rsidRDefault="000F6576">
      <w:pPr>
        <w:framePr w:w="9180" w:h="270" w:hRule="exact" w:wrap="auto" w:vAnchor="page" w:hAnchor="page" w:x="361" w:y="631"/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 w:hint="eastAsia"/>
          <w:color w:val="000000"/>
          <w:szCs w:val="20"/>
        </w:rPr>
        <w:t>上海市延安东路</w:t>
      </w:r>
      <w:r>
        <w:rPr>
          <w:rFonts w:ascii="宋体" w:eastAsia="宋体" w:hAnsi="Times New Roman" w:cs="宋体"/>
          <w:color w:val="000000"/>
          <w:szCs w:val="20"/>
        </w:rPr>
        <w:t>59</w:t>
      </w:r>
      <w:r>
        <w:rPr>
          <w:rFonts w:ascii="宋体" w:eastAsia="宋体" w:hAnsi="Times New Roman" w:cs="宋体" w:hint="eastAsia"/>
          <w:color w:val="000000"/>
          <w:szCs w:val="20"/>
        </w:rPr>
        <w:t>号工商联大厦裙楼</w:t>
      </w:r>
      <w:r>
        <w:rPr>
          <w:rFonts w:ascii="宋体" w:eastAsia="宋体" w:hAnsi="Times New Roman" w:cs="宋体"/>
          <w:color w:val="000000"/>
          <w:szCs w:val="20"/>
        </w:rPr>
        <w:t>6</w:t>
      </w:r>
      <w:r>
        <w:rPr>
          <w:rFonts w:ascii="宋体" w:eastAsia="宋体" w:hAnsi="Times New Roman" w:cs="宋体" w:hint="eastAsia"/>
          <w:color w:val="000000"/>
          <w:szCs w:val="20"/>
        </w:rPr>
        <w:t>楼</w:t>
      </w:r>
      <w:r>
        <w:rPr>
          <w:rFonts w:ascii="宋体" w:eastAsia="宋体" w:hAnsi="Times New Roman" w:cs="宋体"/>
          <w:color w:val="00000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szCs w:val="20"/>
        </w:rPr>
        <w:t>邮编</w:t>
      </w:r>
      <w:r>
        <w:rPr>
          <w:rFonts w:ascii="宋体" w:eastAsia="宋体" w:hAnsi="Times New Roman" w:cs="宋体"/>
          <w:color w:val="000000"/>
          <w:szCs w:val="20"/>
        </w:rPr>
        <w:t xml:space="preserve"> 200002</w:t>
      </w:r>
    </w:p>
    <w:p w:rsidR="000F6576" w:rsidRDefault="000F6576">
      <w:pPr>
        <w:framePr w:w="2160" w:h="240" w:hRule="exact" w:wrap="auto" w:vAnchor="page" w:hAnchor="page" w:x="36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/>
          <w:color w:val="000000"/>
          <w:szCs w:val="20"/>
        </w:rPr>
        <w:t>TEL: 86 21 63373006</w:t>
      </w:r>
    </w:p>
    <w:p w:rsidR="000F6576" w:rsidRDefault="000F6576">
      <w:pPr>
        <w:framePr w:w="10980" w:h="360" w:hRule="exact" w:wrap="auto" w:vAnchor="page" w:hAnchor="page" w:x="361" w:y="181"/>
        <w:autoSpaceDE w:val="0"/>
        <w:autoSpaceDN w:val="0"/>
        <w:adjustRightInd w:val="0"/>
        <w:jc w:val="left"/>
        <w:rPr>
          <w:rFonts w:ascii="宋体" w:eastAsia="宋体" w:hAnsi="Times New Roman" w:cs="宋体"/>
          <w:b/>
          <w:bCs/>
          <w:color w:val="000000"/>
          <w:sz w:val="36"/>
          <w:szCs w:val="36"/>
        </w:rPr>
      </w:pPr>
      <w:r>
        <w:rPr>
          <w:rFonts w:ascii="宋体" w:eastAsia="宋体" w:hAnsi="Times New Roman" w:cs="宋体" w:hint="eastAsia"/>
          <w:b/>
          <w:bCs/>
          <w:color w:val="000000"/>
          <w:sz w:val="36"/>
          <w:szCs w:val="36"/>
        </w:rPr>
        <w:t>环发讯通（天津）国际货运代理有限公司上海分公司</w:t>
      </w:r>
    </w:p>
    <w:p w:rsidR="000F6576" w:rsidRDefault="000F6576">
      <w:pPr>
        <w:framePr w:w="1890" w:h="450" w:hRule="exact" w:wrap="auto" w:vAnchor="page" w:hAnchor="page" w:x="9541" w:y="54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 w:hint="eastAsia"/>
          <w:b/>
          <w:bCs/>
          <w:color w:val="000000"/>
          <w:sz w:val="36"/>
          <w:szCs w:val="36"/>
        </w:rPr>
        <w:t>进仓通知单</w:t>
      </w:r>
    </w:p>
    <w:p w:rsidR="000F6576" w:rsidRDefault="009B13FC">
      <w:pPr>
        <w:framePr w:w="2610" w:h="240" w:hRule="exact" w:wrap="auto" w:vAnchor="page" w:hAnchor="page" w:x="261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 w:rsidRPr="009B13FC">
        <w:rPr>
          <w:noProof/>
        </w:rPr>
        <w:pict>
          <v:line id="_x0000_s1026" style="position:absolute;z-index:-251658240;mso-position-horizontal-relative:page;mso-position-vertical-relative:page" from="18pt,59.5pt" to="567pt,59.5pt" o:allowincell="f" strokeweight="2pt">
            <w10:wrap anchorx="page" anchory="page"/>
          </v:line>
        </w:pict>
      </w:r>
      <w:r w:rsidR="000F6576">
        <w:rPr>
          <w:rFonts w:ascii="宋体" w:eastAsia="宋体" w:hAnsi="Times New Roman" w:cs="宋体"/>
          <w:color w:val="000000"/>
          <w:szCs w:val="20"/>
        </w:rPr>
        <w:t xml:space="preserve">Fax: 86 21 63373005   </w:t>
      </w:r>
    </w:p>
    <w:p w:rsidR="000F6576" w:rsidRDefault="000F6576">
      <w:pPr>
        <w:framePr w:w="360" w:h="270" w:hRule="exact" w:wrap="auto" w:vAnchor="page" w:hAnchor="page" w:x="630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65B6D">
      <w:pPr>
        <w:framePr w:w="5220" w:h="540" w:hRule="exact" w:wrap="auto" w:vAnchor="page" w:hAnchor="page" w:x="225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 w:rsidRPr="00065B6D">
        <w:t xml:space="preserve"> </w:t>
      </w:r>
      <w:r w:rsidR="00A418B5" w:rsidRPr="00A418B5">
        <w:rPr>
          <w:rFonts w:ascii="Tahoma" w:hAnsi="Tahoma" w:cs="Tahoma"/>
          <w:b/>
          <w:bCs/>
          <w:color w:val="000000"/>
          <w:sz w:val="40"/>
          <w:szCs w:val="40"/>
        </w:rPr>
        <w:t>SHWERLHW21030053</w:t>
      </w:r>
    </w:p>
    <w:p w:rsidR="000F6576" w:rsidRDefault="000F6576">
      <w:pPr>
        <w:framePr w:w="1890" w:h="540" w:hRule="exact" w:wrap="auto" w:vAnchor="page" w:hAnchor="page" w:x="36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 w:hint="eastAsia"/>
          <w:b/>
          <w:bCs/>
          <w:color w:val="000000"/>
          <w:sz w:val="40"/>
          <w:szCs w:val="40"/>
        </w:rPr>
        <w:t>进仓编号</w:t>
      </w:r>
    </w:p>
    <w:p w:rsidR="000F6576" w:rsidRDefault="000F6576">
      <w:pPr>
        <w:framePr w:w="1425" w:h="360" w:hRule="exact" w:wrap="auto" w:vAnchor="page" w:hAnchor="page" w:x="972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1170" w:h="255" w:hRule="exact" w:wrap="auto" w:vAnchor="page" w:hAnchor="page" w:x="36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联系人：</w:t>
      </w:r>
    </w:p>
    <w:p w:rsidR="000F6576" w:rsidRDefault="000F6576">
      <w:pPr>
        <w:framePr w:w="1530" w:h="285" w:hRule="exact" w:wrap="auto" w:vAnchor="page" w:hAnchor="page" w:x="135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440" w:h="270" w:hRule="exact" w:wrap="auto" w:vAnchor="page" w:hAnchor="page" w:x="7291" w:y="345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重量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(KGS):</w:t>
      </w:r>
    </w:p>
    <w:p w:rsidR="000F6576" w:rsidRDefault="00E22874">
      <w:pPr>
        <w:framePr w:w="1260" w:h="285" w:hRule="exact" w:wrap="auto" w:vAnchor="page" w:hAnchor="page" w:x="8911" w:y="38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A418B5">
        <w:rPr>
          <w:rFonts w:ascii="Tahoma" w:hAnsi="Tahoma" w:cs="Tahoma" w:hint="eastAsia"/>
          <w:b/>
          <w:bCs/>
          <w:color w:val="000000"/>
          <w:sz w:val="24"/>
          <w:szCs w:val="24"/>
        </w:rPr>
        <w:t>0.96</w:t>
      </w:r>
    </w:p>
    <w:p w:rsidR="000F6576" w:rsidRDefault="000F6576">
      <w:pPr>
        <w:framePr w:w="1530" w:h="270" w:hRule="exact" w:wrap="auto" w:vAnchor="page" w:hAnchor="page" w:x="7291" w:y="381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体积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(CBM):</w:t>
      </w:r>
    </w:p>
    <w:p w:rsidR="000F6576" w:rsidRDefault="00A418B5">
      <w:pPr>
        <w:framePr w:w="900" w:h="285" w:hRule="exact" w:wrap="auto" w:vAnchor="page" w:hAnchor="page" w:x="819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2</w:t>
      </w:r>
    </w:p>
    <w:p w:rsidR="000F6576" w:rsidRDefault="000F6576">
      <w:pPr>
        <w:framePr w:w="990" w:h="270" w:hRule="exact" w:wrap="auto" w:vAnchor="page" w:hAnchor="page" w:x="7201" w:y="2986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件数：</w:t>
      </w:r>
    </w:p>
    <w:p w:rsidR="000F6576" w:rsidRDefault="00A418B5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PACKAGE</w:t>
      </w:r>
    </w:p>
    <w:p w:rsidR="00337E9B" w:rsidRDefault="00337E9B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D35C5" w:rsidRDefault="006D35C5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D35C5" w:rsidRDefault="006D35C5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E22874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A418B5">
        <w:rPr>
          <w:rFonts w:ascii="Tahoma" w:hAnsi="Tahoma" w:cs="Tahoma" w:hint="eastAsia"/>
          <w:b/>
          <w:bCs/>
          <w:color w:val="000000"/>
          <w:sz w:val="24"/>
          <w:szCs w:val="24"/>
        </w:rPr>
        <w:t>1800</w:t>
      </w:r>
    </w:p>
    <w:p w:rsidR="00617630" w:rsidRDefault="00617630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207" w:h="360" w:hRule="exact" w:wrap="auto" w:vAnchor="page" w:hAnchor="page" w:x="8641" w:y="144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 w:hint="eastAsia"/>
          <w:b/>
          <w:bCs/>
          <w:color w:val="000000"/>
          <w:sz w:val="28"/>
          <w:szCs w:val="28"/>
        </w:rPr>
        <w:t>联系人：</w:t>
      </w:r>
    </w:p>
    <w:p w:rsidR="00150BC7" w:rsidRDefault="00150BC7" w:rsidP="00150BC7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540" w:h="360" w:hRule="exact" w:wrap="auto" w:vAnchor="page" w:hAnchor="page" w:x="36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TO:</w:t>
      </w:r>
    </w:p>
    <w:p w:rsidR="000F6576" w:rsidRDefault="000F6576">
      <w:pPr>
        <w:framePr w:w="2970" w:h="285" w:hRule="exact" w:wrap="auto" w:vAnchor="page" w:hAnchor="page" w:x="83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HAMBURG</w:t>
      </w:r>
    </w:p>
    <w:p w:rsidR="000F6576" w:rsidRDefault="000F6576">
      <w:pPr>
        <w:framePr w:w="1620" w:h="270" w:hRule="exact" w:wrap="auto" w:vAnchor="page" w:hAnchor="page" w:x="74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目的港：</w:t>
      </w:r>
    </w:p>
    <w:p w:rsidR="000F6576" w:rsidRDefault="000F6576">
      <w:pPr>
        <w:framePr w:w="1530" w:h="300" w:hRule="exact" w:wrap="auto" w:vAnchor="page" w:hAnchor="page" w:x="83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WUHAN</w:t>
      </w:r>
    </w:p>
    <w:p w:rsidR="000F6576" w:rsidRDefault="000F6576">
      <w:pPr>
        <w:framePr w:w="1530" w:h="300" w:hRule="exact" w:wrap="auto" w:vAnchor="page" w:hAnchor="page" w:x="74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起运港：</w:t>
      </w:r>
    </w:p>
    <w:p w:rsidR="000F6576" w:rsidRDefault="000F6576">
      <w:pPr>
        <w:framePr w:w="1440" w:h="270" w:hRule="exact" w:wrap="auto" w:vAnchor="page" w:hAnchor="page" w:x="34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截单时间</w:t>
      </w:r>
      <w:proofErr w:type="gramEnd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8317A4">
      <w:pPr>
        <w:framePr w:w="2430" w:h="300" w:hRule="exact" w:wrap="auto" w:vAnchor="page" w:hAnchor="page" w:x="468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</w:t>
      </w:r>
      <w:r w:rsidR="001503DE">
        <w:rPr>
          <w:rFonts w:ascii="Tahoma" w:hAnsi="Tahoma" w:cs="Tahoma" w:hint="eastAsia"/>
          <w:b/>
          <w:bCs/>
          <w:color w:val="000000"/>
          <w:sz w:val="24"/>
          <w:szCs w:val="24"/>
        </w:rPr>
        <w:t>1-3</w:t>
      </w:r>
      <w:r w:rsidR="00C73FBA">
        <w:rPr>
          <w:rFonts w:ascii="Tahoma" w:hAnsi="Tahoma" w:cs="Tahoma" w:hint="eastAsia"/>
          <w:b/>
          <w:bCs/>
          <w:color w:val="000000"/>
          <w:sz w:val="24"/>
          <w:szCs w:val="24"/>
        </w:rPr>
        <w:t>-15</w:t>
      </w:r>
    </w:p>
    <w:p w:rsidR="000F6576" w:rsidRDefault="000F6576">
      <w:pPr>
        <w:framePr w:w="1170" w:h="270" w:hRule="exact" w:wrap="auto" w:vAnchor="page" w:hAnchor="page" w:x="36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班列：</w:t>
      </w:r>
    </w:p>
    <w:p w:rsidR="000F6576" w:rsidRDefault="008317A4">
      <w:pPr>
        <w:framePr w:w="1530" w:h="300" w:hRule="exact" w:wrap="auto" w:vAnchor="page" w:hAnchor="page" w:x="144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1</w:t>
      </w:r>
      <w:r w:rsidR="00AA3A9E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1503DE">
        <w:rPr>
          <w:rFonts w:ascii="Tahoma" w:hAnsi="Tahoma" w:cs="Tahoma" w:hint="eastAsia"/>
          <w:b/>
          <w:bCs/>
          <w:color w:val="000000"/>
          <w:sz w:val="24"/>
          <w:szCs w:val="24"/>
        </w:rPr>
        <w:t>3</w:t>
      </w:r>
      <w:r w:rsidR="00C73FBA">
        <w:rPr>
          <w:rFonts w:ascii="Tahoma" w:hAnsi="Tahoma" w:cs="Tahoma" w:hint="eastAsia"/>
          <w:b/>
          <w:bCs/>
          <w:color w:val="000000"/>
          <w:sz w:val="24"/>
          <w:szCs w:val="24"/>
        </w:rPr>
        <w:t>-20</w:t>
      </w:r>
    </w:p>
    <w:p w:rsidR="000F6576" w:rsidRDefault="000F6576">
      <w:pPr>
        <w:framePr w:w="2430" w:h="360" w:hRule="exact" w:wrap="auto" w:vAnchor="page" w:hAnchor="page" w:x="361" w:y="514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●报关资料送达：</w:t>
      </w:r>
    </w:p>
    <w:p w:rsidR="000F6576" w:rsidRDefault="000F6576">
      <w:pPr>
        <w:framePr w:w="2520" w:h="450" w:hRule="exact" w:wrap="auto" w:vAnchor="page" w:hAnchor="page" w:x="361" w:y="69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●货物送达地址：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、发车前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天内退舱，有亏舱费需单独确认。未及时到单到货视为退舱。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化工品请提供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化工研究院非危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鉴证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证书，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MSDS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和非危保函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我司不接受各类危险品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、请发货人提供内容完整齐全的报关资料，报关委托书上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需客户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自行填写的部分请填写完整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（包括品名及商品编码也提供清楚）以便顺利报关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、对于需要缴纳出口关税的货物，请于送单据之日将关税付至我司指定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帐户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，否则贵司自行承担延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迟出货的责任及由此产生的费用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、如因货物包装无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唛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头，我司对错运及错发货物概不负责，如因包装无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唛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头问题发生的额外费用，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将向发货人收取相应成本及服务费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6.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体积与立方换算关系：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500KG=1CBM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，取大者计算。计费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吨按照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仓库收货后实际测量为准。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武汉发车：单件重量超过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,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单件长超过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米，高超过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1.8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米，收取大件困难作业费。小件无托盘货物，收取人工搬运费，具体价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格详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询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 xml:space="preserve">  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成都发车：单件不可超过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吨，单件长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高不超过：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1.2M/0.8M/1M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，超过的需要另行确认。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8.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需要其他服务，费用请单独确认，如：打托、缠膜、重新包装等。</w:t>
      </w:r>
    </w:p>
    <w:p w:rsidR="001F1A92" w:rsidRDefault="001F1A92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9．</w:t>
      </w:r>
      <w:r w:rsidRPr="00AF7D6C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新能源车不能进园区，一车一票货，进</w:t>
      </w:r>
      <w:proofErr w:type="gramStart"/>
      <w:r w:rsidRPr="00AF7D6C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园区请</w:t>
      </w:r>
      <w:proofErr w:type="gramEnd"/>
      <w:r w:rsidRPr="00AF7D6C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先在门口2楼办理入园手续。</w:t>
      </w:r>
    </w:p>
    <w:p w:rsidR="00A0442E" w:rsidRPr="00A0442E" w:rsidRDefault="00A0442E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10．</w:t>
      </w:r>
      <w:r w:rsidRPr="00A0442E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通知所有送货司机，一定要在门口2楼办入园手续，按指定卡口入园，否则海关不会办理出园手续！</w:t>
      </w:r>
    </w:p>
    <w:p w:rsidR="001F1A92" w:rsidRPr="001F1A92" w:rsidRDefault="001F1A92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0F6576" w:rsidRDefault="000F6576">
      <w:pPr>
        <w:framePr w:w="11070" w:h="720" w:hRule="exact" w:wrap="auto" w:vAnchor="page" w:hAnchor="page" w:x="361" w:y="87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4"/>
          <w:szCs w:val="44"/>
        </w:rPr>
      </w:pPr>
      <w:r>
        <w:rPr>
          <w:rFonts w:ascii="Tahoma" w:hAnsi="Tahoma" w:cs="Tahoma" w:hint="eastAsia"/>
          <w:b/>
          <w:bCs/>
          <w:color w:val="000000"/>
          <w:sz w:val="44"/>
          <w:szCs w:val="44"/>
        </w:rPr>
        <w:t>特别注意：请仔细阅读以下条款。</w:t>
      </w:r>
    </w:p>
    <w:p w:rsidR="000F6576" w:rsidRDefault="000F6576">
      <w:pPr>
        <w:framePr w:w="1170" w:h="270" w:hRule="exact" w:wrap="auto" w:vAnchor="page" w:hAnchor="page" w:x="361" w:y="252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唛</w:t>
      </w:r>
      <w:proofErr w:type="gramEnd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头：</w:t>
      </w:r>
    </w:p>
    <w:p w:rsidR="000F6576" w:rsidRDefault="000F6576">
      <w:pPr>
        <w:framePr w:w="1440" w:h="270" w:hRule="exact" w:wrap="auto" w:vAnchor="page" w:hAnchor="page" w:x="747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截货时间：</w:t>
      </w:r>
    </w:p>
    <w:p w:rsidR="000F6576" w:rsidRDefault="008317A4">
      <w:pPr>
        <w:framePr w:w="2430" w:h="300" w:hRule="exact" w:wrap="auto" w:vAnchor="page" w:hAnchor="page" w:x="88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</w:t>
      </w:r>
      <w:r w:rsidR="001503DE">
        <w:rPr>
          <w:rFonts w:ascii="Tahoma" w:hAnsi="Tahoma" w:cs="Tahoma" w:hint="eastAsia"/>
          <w:b/>
          <w:bCs/>
          <w:color w:val="000000"/>
          <w:sz w:val="24"/>
          <w:szCs w:val="24"/>
        </w:rPr>
        <w:t>1-3</w:t>
      </w:r>
      <w:r w:rsidR="00C73FBA">
        <w:rPr>
          <w:rFonts w:ascii="Tahoma" w:hAnsi="Tahoma" w:cs="Tahoma" w:hint="eastAsia"/>
          <w:b/>
          <w:bCs/>
          <w:color w:val="000000"/>
          <w:sz w:val="24"/>
          <w:szCs w:val="24"/>
        </w:rPr>
        <w:t>-16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一般出口申报资料：报关单、装箱单、发票、合同、报关委托书、申报要素。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电子版文件邮件形式发送预审，主题编辑为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：具体进仓号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+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出口报关资料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*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资料提前提交预审，铁路运输申报前会提供验单确认。</w:t>
      </w:r>
    </w:p>
    <w:p w:rsidR="000F6576" w:rsidRDefault="000F6576">
      <w:pPr>
        <w:framePr w:w="810" w:h="255" w:hRule="exact" w:wrap="auto" w:vAnchor="page" w:hAnchor="page" w:x="297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TEL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2430" w:h="285" w:hRule="exact" w:wrap="auto" w:vAnchor="page" w:hAnchor="page" w:x="360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170" w:h="255" w:hRule="exact" w:wrap="auto" w:vAnchor="page" w:hAnchor="page" w:x="61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EMAIL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4410" w:h="285" w:hRule="exact" w:wrap="auto" w:vAnchor="page" w:hAnchor="page" w:x="70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2295" w:h="285" w:hRule="exact" w:wrap="auto" w:vAnchor="page" w:hAnchor="page" w:x="2161" w:y="156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中</w:t>
      </w: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铁联集武汉</w:t>
      </w:r>
      <w:proofErr w:type="gramEnd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中心站</w:t>
      </w:r>
    </w:p>
    <w:p w:rsidR="000F6576" w:rsidRDefault="000F6576">
      <w:pPr>
        <w:framePr w:w="660" w:h="285" w:hRule="exact" w:wrap="auto" w:vAnchor="page" w:hAnchor="page" w:x="7471" w:y="1496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号库</w:t>
      </w:r>
    </w:p>
    <w:p w:rsidR="000F6576" w:rsidRDefault="009B13FC">
      <w:pPr>
        <w:framePr w:w="810" w:h="285" w:hRule="exact" w:wrap="auto" w:vAnchor="page" w:hAnchor="page" w:x="9721" w:y="1487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 w:rsidRPr="009B13FC">
        <w:rPr>
          <w:noProof/>
        </w:rPr>
        <w:pict>
          <v:shape id="_x0000_s1027" style="position:absolute;margin-left:0;margin-top:0;width:18pt;height:18pt;z-index:-251657216;mso-position-horizontal-relative:page;mso-position-vertical-relative:page" coordsize="20000,20000" o:allowincell="f" path="m525000,811389r-10000,20000l535000,816389r-20000,l530000,831389r-5000,-15000l525000,811389xe" fillcolor="black" strokeweight="0">
            <v:path arrowok="t"/>
            <w10:wrap anchorx="page" anchory="page"/>
          </v:shape>
        </w:pict>
      </w:r>
      <w:r w:rsidR="000F6576">
        <w:rPr>
          <w:rFonts w:ascii="Tahoma" w:hAnsi="Tahoma" w:cs="Tahoma"/>
          <w:b/>
          <w:bCs/>
          <w:color w:val="000000"/>
          <w:sz w:val="24"/>
          <w:szCs w:val="24"/>
        </w:rPr>
        <w:t>19</w: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号门</w:t>
      </w:r>
    </w:p>
    <w:p w:rsidR="000F6576" w:rsidRDefault="009B13FC">
      <w:pPr>
        <w:framePr w:w="1275" w:h="285" w:hRule="exact" w:wrap="auto" w:vAnchor="page" w:hAnchor="page" w:x="9631" w:y="144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 w:rsidRPr="009B13FC">
        <w:rPr>
          <w:noProof/>
        </w:rPr>
        <w:pict>
          <v:rect id="_x0000_s1028" style="position:absolute;margin-left:481.5pt;margin-top:721.25pt;width:63pt;height:18pt;z-index:-251656192;mso-position-horizontal-relative:page;mso-position-vertical-relative:page" o:allowincell="f" fillcolor="#c2c2c2" strokeweight="0">
            <w10:wrap anchorx="page" anchory="page"/>
          </v:rect>
        </w:pic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铁路集拼仓</w:t>
      </w:r>
    </w:p>
    <w:p w:rsidR="004F6531" w:rsidRDefault="004F6531" w:rsidP="004F6531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武汉市东西湖革新大道高桥二路武汉临空港综合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保税园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3号库4门</w:t>
      </w:r>
    </w:p>
    <w:p w:rsidR="004F6531" w:rsidRDefault="004F6531" w:rsidP="004F6531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仓库收货时间在上午8点30到下午4点30。需其他时间进仓请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联系常杰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13971677753预约进仓。</w:t>
      </w:r>
    </w:p>
    <w:p w:rsidR="004F6531" w:rsidRDefault="004F6531" w:rsidP="004F6531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仓库名称：武汉铁路集拼仓库</w:t>
      </w:r>
    </w:p>
    <w:p w:rsidR="004F6531" w:rsidRDefault="004F6531" w:rsidP="004F6531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联系人：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常杰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 xml:space="preserve">13971677753 </w:t>
      </w:r>
    </w:p>
    <w:p w:rsidR="007B74B3" w:rsidRPr="004F6531" w:rsidRDefault="007B74B3" w:rsidP="00785EE7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262317" w:rsidRDefault="00262317" w:rsidP="00C856B6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332E32" w:rsidRDefault="00332E32" w:rsidP="00D67264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0F6576" w:rsidRDefault="000F6576" w:rsidP="00532083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754387" w:rsidRPr="00754387" w:rsidRDefault="00DB6F6A" w:rsidP="00754387">
      <w:pPr>
        <w:framePr w:w="6930" w:h="1785" w:hRule="exact" w:wrap="auto" w:vAnchor="page" w:hAnchor="page" w:x="451" w:y="2896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品名</w:t>
      </w:r>
      <w:r w:rsidR="001B782E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：</w:t>
      </w:r>
    </w:p>
    <w:p w:rsidR="001503DE" w:rsidRPr="001503DE" w:rsidRDefault="001503DE" w:rsidP="001503DE">
      <w:pPr>
        <w:framePr w:w="6930" w:h="1785" w:hRule="exact" w:wrap="auto" w:vAnchor="page" w:hAnchor="page" w:x="451" w:y="2896"/>
        <w:widowControl/>
        <w:jc w:val="left"/>
        <w:rPr>
          <w:rFonts w:ascii="Times New Roman" w:eastAsia="宋体" w:hAnsi="Times New Roman" w:cs="Times New Roman"/>
          <w:szCs w:val="20"/>
        </w:rPr>
      </w:pPr>
    </w:p>
    <w:p w:rsidR="000F6576" w:rsidRPr="00E676FC" w:rsidRDefault="00A418B5" w:rsidP="00A418B5">
      <w:pPr>
        <w:framePr w:w="6930" w:h="1785" w:hRule="exact" w:wrap="auto" w:vAnchor="page" w:hAnchor="page" w:x="451" w:y="2896"/>
        <w:autoSpaceDE w:val="0"/>
        <w:autoSpaceDN w:val="0"/>
        <w:adjustRightInd w:val="0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刹车片</w:t>
      </w:r>
    </w:p>
    <w:sectPr w:rsidR="000F6576" w:rsidRPr="00E676FC" w:rsidSect="00F5390B">
      <w:pgSz w:w="11960" w:h="16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79" w:rsidRDefault="00C33979" w:rsidP="00DB6F6A">
      <w:r>
        <w:separator/>
      </w:r>
    </w:p>
  </w:endnote>
  <w:endnote w:type="continuationSeparator" w:id="1">
    <w:p w:rsidR="00C33979" w:rsidRDefault="00C33979" w:rsidP="00D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79" w:rsidRDefault="00C33979" w:rsidP="00DB6F6A">
      <w:r>
        <w:separator/>
      </w:r>
    </w:p>
  </w:footnote>
  <w:footnote w:type="continuationSeparator" w:id="1">
    <w:p w:rsidR="00C33979" w:rsidRDefault="00C33979" w:rsidP="00DB6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12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F6A"/>
    <w:rsid w:val="00065B1B"/>
    <w:rsid w:val="00065B6D"/>
    <w:rsid w:val="00083C67"/>
    <w:rsid w:val="000D7E0D"/>
    <w:rsid w:val="000E3EE0"/>
    <w:rsid w:val="000F6576"/>
    <w:rsid w:val="00100371"/>
    <w:rsid w:val="0010145A"/>
    <w:rsid w:val="00102F57"/>
    <w:rsid w:val="00104904"/>
    <w:rsid w:val="001401BF"/>
    <w:rsid w:val="001503DE"/>
    <w:rsid w:val="00150BC7"/>
    <w:rsid w:val="00160C71"/>
    <w:rsid w:val="00162FBD"/>
    <w:rsid w:val="00196933"/>
    <w:rsid w:val="00197D44"/>
    <w:rsid w:val="001A271E"/>
    <w:rsid w:val="001B782E"/>
    <w:rsid w:val="001C0828"/>
    <w:rsid w:val="001D1AC0"/>
    <w:rsid w:val="001E3566"/>
    <w:rsid w:val="001F1A92"/>
    <w:rsid w:val="0020380A"/>
    <w:rsid w:val="0021234B"/>
    <w:rsid w:val="00262317"/>
    <w:rsid w:val="00271B08"/>
    <w:rsid w:val="002802BA"/>
    <w:rsid w:val="002C41C2"/>
    <w:rsid w:val="002E0263"/>
    <w:rsid w:val="00311B7A"/>
    <w:rsid w:val="00312AC3"/>
    <w:rsid w:val="00332E32"/>
    <w:rsid w:val="00337E9B"/>
    <w:rsid w:val="00343626"/>
    <w:rsid w:val="003641E4"/>
    <w:rsid w:val="003807B4"/>
    <w:rsid w:val="003872B6"/>
    <w:rsid w:val="003B6FF2"/>
    <w:rsid w:val="00400D2F"/>
    <w:rsid w:val="0043634E"/>
    <w:rsid w:val="004432E3"/>
    <w:rsid w:val="00474085"/>
    <w:rsid w:val="00491255"/>
    <w:rsid w:val="004E3595"/>
    <w:rsid w:val="004E3F96"/>
    <w:rsid w:val="004F6531"/>
    <w:rsid w:val="00503950"/>
    <w:rsid w:val="005111B8"/>
    <w:rsid w:val="00516399"/>
    <w:rsid w:val="00532083"/>
    <w:rsid w:val="00562D05"/>
    <w:rsid w:val="00581C92"/>
    <w:rsid w:val="005A3D97"/>
    <w:rsid w:val="005B0CBA"/>
    <w:rsid w:val="005B4646"/>
    <w:rsid w:val="005C62D4"/>
    <w:rsid w:val="005D20E8"/>
    <w:rsid w:val="005F002D"/>
    <w:rsid w:val="00610C94"/>
    <w:rsid w:val="00613640"/>
    <w:rsid w:val="00617630"/>
    <w:rsid w:val="00617BCB"/>
    <w:rsid w:val="00622ECC"/>
    <w:rsid w:val="00680A9F"/>
    <w:rsid w:val="00690045"/>
    <w:rsid w:val="00690DCD"/>
    <w:rsid w:val="006A65D3"/>
    <w:rsid w:val="006B0C64"/>
    <w:rsid w:val="006D35C5"/>
    <w:rsid w:val="006D4F41"/>
    <w:rsid w:val="006E1A35"/>
    <w:rsid w:val="007041FB"/>
    <w:rsid w:val="00717724"/>
    <w:rsid w:val="00754387"/>
    <w:rsid w:val="00757DD4"/>
    <w:rsid w:val="00761BA8"/>
    <w:rsid w:val="00771703"/>
    <w:rsid w:val="00783E54"/>
    <w:rsid w:val="00785EE7"/>
    <w:rsid w:val="007A6892"/>
    <w:rsid w:val="007B74B3"/>
    <w:rsid w:val="007D7A86"/>
    <w:rsid w:val="007E5AB0"/>
    <w:rsid w:val="007E7D52"/>
    <w:rsid w:val="007F2059"/>
    <w:rsid w:val="00820CB5"/>
    <w:rsid w:val="008257A7"/>
    <w:rsid w:val="00826D22"/>
    <w:rsid w:val="008317A4"/>
    <w:rsid w:val="00836E2A"/>
    <w:rsid w:val="00867C61"/>
    <w:rsid w:val="008905E4"/>
    <w:rsid w:val="00892D4D"/>
    <w:rsid w:val="008932E9"/>
    <w:rsid w:val="008A1703"/>
    <w:rsid w:val="008B5A61"/>
    <w:rsid w:val="008B70C8"/>
    <w:rsid w:val="008C36BF"/>
    <w:rsid w:val="008E319F"/>
    <w:rsid w:val="00912F36"/>
    <w:rsid w:val="00914E73"/>
    <w:rsid w:val="009163FC"/>
    <w:rsid w:val="009177B4"/>
    <w:rsid w:val="0093201E"/>
    <w:rsid w:val="00943F75"/>
    <w:rsid w:val="0094740B"/>
    <w:rsid w:val="00962495"/>
    <w:rsid w:val="009661EC"/>
    <w:rsid w:val="009675DB"/>
    <w:rsid w:val="00982884"/>
    <w:rsid w:val="009B13FC"/>
    <w:rsid w:val="009B5719"/>
    <w:rsid w:val="009C12B2"/>
    <w:rsid w:val="009D7765"/>
    <w:rsid w:val="00A0442E"/>
    <w:rsid w:val="00A3264B"/>
    <w:rsid w:val="00A3716B"/>
    <w:rsid w:val="00A418B5"/>
    <w:rsid w:val="00A648B7"/>
    <w:rsid w:val="00A86BA1"/>
    <w:rsid w:val="00A91A4F"/>
    <w:rsid w:val="00AA3A9E"/>
    <w:rsid w:val="00AB7AB2"/>
    <w:rsid w:val="00AD387E"/>
    <w:rsid w:val="00B140E9"/>
    <w:rsid w:val="00B16002"/>
    <w:rsid w:val="00B65A12"/>
    <w:rsid w:val="00B70398"/>
    <w:rsid w:val="00B87650"/>
    <w:rsid w:val="00B948F6"/>
    <w:rsid w:val="00BB01D8"/>
    <w:rsid w:val="00BF7C6A"/>
    <w:rsid w:val="00C075F6"/>
    <w:rsid w:val="00C2409E"/>
    <w:rsid w:val="00C31F5D"/>
    <w:rsid w:val="00C33979"/>
    <w:rsid w:val="00C62760"/>
    <w:rsid w:val="00C71ED1"/>
    <w:rsid w:val="00C73FBA"/>
    <w:rsid w:val="00C832E7"/>
    <w:rsid w:val="00C856B6"/>
    <w:rsid w:val="00C87BED"/>
    <w:rsid w:val="00CC216D"/>
    <w:rsid w:val="00CC3B81"/>
    <w:rsid w:val="00CD2D46"/>
    <w:rsid w:val="00CE1D0F"/>
    <w:rsid w:val="00D06FC6"/>
    <w:rsid w:val="00D15103"/>
    <w:rsid w:val="00D25E84"/>
    <w:rsid w:val="00D3223C"/>
    <w:rsid w:val="00D36925"/>
    <w:rsid w:val="00D46C18"/>
    <w:rsid w:val="00D57AD0"/>
    <w:rsid w:val="00D67264"/>
    <w:rsid w:val="00D83A27"/>
    <w:rsid w:val="00D92E53"/>
    <w:rsid w:val="00DA7BB2"/>
    <w:rsid w:val="00DB6F6A"/>
    <w:rsid w:val="00DD102D"/>
    <w:rsid w:val="00DD56F6"/>
    <w:rsid w:val="00DE1183"/>
    <w:rsid w:val="00DF4575"/>
    <w:rsid w:val="00E22874"/>
    <w:rsid w:val="00E3534A"/>
    <w:rsid w:val="00E464BB"/>
    <w:rsid w:val="00E47A0E"/>
    <w:rsid w:val="00E676FC"/>
    <w:rsid w:val="00E813AA"/>
    <w:rsid w:val="00E84CF6"/>
    <w:rsid w:val="00E974AB"/>
    <w:rsid w:val="00EA1E55"/>
    <w:rsid w:val="00EA47CA"/>
    <w:rsid w:val="00EB43CB"/>
    <w:rsid w:val="00EC1C0F"/>
    <w:rsid w:val="00EE2D6A"/>
    <w:rsid w:val="00F04076"/>
    <w:rsid w:val="00F05DDB"/>
    <w:rsid w:val="00F13830"/>
    <w:rsid w:val="00F23850"/>
    <w:rsid w:val="00F34AB0"/>
    <w:rsid w:val="00F5390B"/>
    <w:rsid w:val="00F65A47"/>
    <w:rsid w:val="00F67040"/>
    <w:rsid w:val="00FC638B"/>
    <w:rsid w:val="00FC707D"/>
    <w:rsid w:val="00FD4B77"/>
    <w:rsid w:val="00FE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0B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B6F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B6F6A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54387"/>
  </w:style>
  <w:style w:type="paragraph" w:styleId="a5">
    <w:name w:val="Balloon Text"/>
    <w:basedOn w:val="a"/>
    <w:link w:val="Char1"/>
    <w:uiPriority w:val="99"/>
    <w:semiHidden/>
    <w:unhideWhenUsed/>
    <w:rsid w:val="00EA1E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E55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295</Characters>
  <Application>Microsoft Office Word</Application>
  <DocSecurity>0</DocSecurity>
  <Lines>2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GWUHHAMF2003274 进仓单.RTF</dc:title>
  <dc:subject/>
  <dc:creator>Oracle Reports</dc:creator>
  <cp:keywords/>
  <dc:description/>
  <cp:lastModifiedBy>prj003</cp:lastModifiedBy>
  <cp:revision>4</cp:revision>
  <dcterms:created xsi:type="dcterms:W3CDTF">2021-03-11T01:36:00Z</dcterms:created>
  <dcterms:modified xsi:type="dcterms:W3CDTF">2021-03-11T02:46:00Z</dcterms:modified>
</cp:coreProperties>
</file>