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b516eefad4a75" /><Relationship Type="http://schemas.openxmlformats.org/package/2006/relationships/metadata/core-properties" Target="/package/services/metadata/core-properties/4c353a17e04e437cb4685b6391e3cfee.psmdcp" Id="R3b695aee906f4cfe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1026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6"/>
                    </w:rPr>
                  </w:pPr>
                  <w:r w:rsidRPr="00FE589F"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8"/>
                    </w:rPr>
                  </w:pPr>
                  <w:r w:rsidRPr="00FE589F"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黑体" w:eastAsia="黑体"/>
                      <w:sz w:val="32"/>
                    </w:rPr>
                  </w:pPr>
                  <w:r w:rsidRPr="00FE589F"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TO: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操作: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通知时间: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进仓编号：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品名：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启运港：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目的地：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客户编号：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卸货港：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委托件数：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委托重量：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委托体积：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开航日期：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船名航次：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提单号：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前进仓！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"请及时到货,以免产生空仓费"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  <w:color w:val="FF0000"/>
                    </w:rPr>
                    <w:t>注意：美国线船开前5天 请提供AMS信息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2"/>
                    </w:rPr>
                  </w:pPr>
                  <w:r w:rsidRPr="00FE589F"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"订舱要求：1,如货物是化工品 订舱时需提供MSDS"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"非危保函正本公章,  货物运输鉴定证书"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"2,如提单需要倒签，电放，预借等要求"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"需提供相对应保函,以便客户顺利签单."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我司其他港口拼箱询价热线：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中东 印巴                            罗文祺 TEL:61486079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东南亚                              张丽     TEL:61486159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澳新 欧地 美加                 姜磊  TEL:61486071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日本 香港 台湾 韩国 南美   孙丽娜  TEL:61486074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0"/>
                    </w:rPr>
                  </w:pPr>
                  <w:r w:rsidRPr="00FE589F">
                    <w:rPr>
                      <w:rFonts w:hint="eastAsia" w:ascii="微软雅黑" w:eastAsia="微软雅黑"/>
                      <w:sz w:val="30"/>
                      <w:color w:val="FF0000"/>
                    </w:rPr>
                    <w:t>政府通知：一般化工品进仓需在货物上张贴MSDS  否则仓库将拒收货物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0.1mm;margin-top:91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2021-02-23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李怡雯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9mm;margin-top:51.2mm;width:30.3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2021-03-01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NHAVA SHEVA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NHAVA SHEVA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常州万红进出口有限公司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2021/2/26 22:00:00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2021/2/26 17:00:00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HW21021972N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HW21030282N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860.00KGS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2.63CBM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5mm;margin-top:115.3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61486178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姜秀琪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