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9b97115214d5f" /><Relationship Type="http://schemas.openxmlformats.org/package/2006/relationships/metadata/core-properties" Target="/package/services/metadata/core-properties/ba4e0888acc440b7a2c69305bdb0dd43.psmdcp" Id="R00868ebd528240f2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2021-02-23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陈竹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9mm;margin-top:51.2mm;width:3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钱伟成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2021-03-03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ATLANTA-GA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ATLANTA-GA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旻宇国际物流（上海）有限公司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FOOD TRAILER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2021/2/26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2021/2/26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HW21030281F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HW21030281F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650.00KGS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16.50CBM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5mm;margin-top:115.3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61486977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钱伟成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