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6326e3918408b" /><Relationship Type="http://schemas.openxmlformats.org/package/2006/relationships/metadata/core-properties" Target="/package/services/metadata/core-properties/09380a101c78429e86355df9061e99cd.psmdcp" Id="R7a75c70c18434fd5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2021-02-20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王昱辉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2021-03-02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KOBE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KOBE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港捷(中国)国际货运有限公司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PARTICULARS OF GOODS ***************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KGS CBM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2674.66 8.32 TUBE ASSEMBLIES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============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----------------------------------------------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2021/2/26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2021/2/26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HW21030125F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HW21030125F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7CASES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2674.66KGS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8.32CBM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换货同行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